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9A15FB" w:rsidP="0091431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200A46">
        <w:rPr>
          <w:u w:val="single"/>
        </w:rPr>
        <w:t xml:space="preserve">   11 апреля </w:t>
      </w:r>
      <w:r w:rsidR="00FE6A40" w:rsidRPr="00FE6A40">
        <w:rPr>
          <w:u w:val="single"/>
        </w:rPr>
        <w:t xml:space="preserve"> </w:t>
      </w:r>
      <w:r w:rsidR="00FE6A40">
        <w:rPr>
          <w:u w:val="single"/>
        </w:rPr>
        <w:t>201</w:t>
      </w:r>
      <w:r w:rsidR="00762049">
        <w:rPr>
          <w:u w:val="single"/>
          <w:lang w:val="en-US"/>
        </w:rPr>
        <w:t>7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762049">
        <w:rPr>
          <w:u w:val="single"/>
          <w:lang w:val="en-US"/>
        </w:rPr>
        <w:t xml:space="preserve">  </w:t>
      </w:r>
      <w:r w:rsidR="00200A46">
        <w:rPr>
          <w:u w:val="single"/>
        </w:rPr>
        <w:t xml:space="preserve">      115   </w:t>
      </w:r>
      <w:r w:rsidR="00762049">
        <w:rPr>
          <w:u w:val="single"/>
          <w:lang w:val="en-US"/>
        </w:rPr>
        <w:t xml:space="preserve">  </w:t>
      </w:r>
      <w:r w:rsidR="00706238">
        <w:rPr>
          <w:u w:val="single"/>
        </w:rPr>
        <w:t xml:space="preserve"> </w:t>
      </w:r>
      <w:r w:rsidR="00762049">
        <w:rPr>
          <w:u w:val="single"/>
          <w:lang w:val="en-US"/>
        </w:rPr>
        <w:t xml:space="preserve">   </w:t>
      </w:r>
      <w:r w:rsidR="00762049" w:rsidRPr="00762049">
        <w:rPr>
          <w:color w:val="FFFFFF"/>
          <w:u w:val="single"/>
          <w:lang w:val="en-US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762049">
        <w:rPr>
          <w:b/>
          <w:sz w:val="28"/>
          <w:szCs w:val="28"/>
        </w:rPr>
        <w:t>первый</w:t>
      </w:r>
      <w:r w:rsidR="00394CCD">
        <w:rPr>
          <w:b/>
          <w:sz w:val="28"/>
          <w:szCs w:val="28"/>
        </w:rPr>
        <w:t xml:space="preserve"> квартал</w:t>
      </w:r>
      <w:r w:rsidRPr="0091431B">
        <w:rPr>
          <w:b/>
          <w:sz w:val="28"/>
          <w:szCs w:val="28"/>
        </w:rPr>
        <w:t xml:space="preserve"> 201</w:t>
      </w:r>
      <w:r w:rsidR="00762049">
        <w:rPr>
          <w:b/>
          <w:sz w:val="28"/>
          <w:szCs w:val="28"/>
        </w:rPr>
        <w:t>7</w:t>
      </w:r>
      <w:r w:rsidRPr="0091431B">
        <w:rPr>
          <w:b/>
          <w:sz w:val="28"/>
          <w:szCs w:val="28"/>
        </w:rPr>
        <w:t xml:space="preserve"> г</w:t>
      </w:r>
      <w:r w:rsidRPr="0091431B">
        <w:rPr>
          <w:b/>
          <w:sz w:val="28"/>
          <w:szCs w:val="28"/>
        </w:rPr>
        <w:t>о</w:t>
      </w:r>
      <w:r w:rsidRPr="0091431B">
        <w:rPr>
          <w:b/>
          <w:sz w:val="28"/>
          <w:szCs w:val="28"/>
        </w:rPr>
        <w:t>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r w:rsidR="0091431B" w:rsidRPr="0091431B">
        <w:rPr>
          <w:b/>
          <w:sz w:val="28"/>
          <w:szCs w:val="28"/>
        </w:rPr>
        <w:t>п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>первый</w:t>
      </w:r>
      <w:r w:rsidR="00394CCD">
        <w:rPr>
          <w:sz w:val="28"/>
          <w:szCs w:val="28"/>
        </w:rPr>
        <w:t xml:space="preserve"> квартал</w:t>
      </w:r>
      <w:r w:rsidR="00437F55">
        <w:rPr>
          <w:sz w:val="28"/>
          <w:szCs w:val="28"/>
        </w:rPr>
        <w:t xml:space="preserve"> 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762049">
        <w:rPr>
          <w:sz w:val="28"/>
          <w:szCs w:val="28"/>
        </w:rPr>
        <w:t xml:space="preserve">первый </w:t>
      </w:r>
      <w:r w:rsidR="00394CCD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62049">
        <w:rPr>
          <w:sz w:val="28"/>
          <w:szCs w:val="28"/>
        </w:rPr>
        <w:t>7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78733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CD1A26" w:rsidRDefault="00CD1A26" w:rsidP="0078733C">
      <w:pPr>
        <w:jc w:val="both"/>
        <w:rPr>
          <w:sz w:val="28"/>
          <w:szCs w:val="28"/>
        </w:rPr>
        <w:sectPr w:rsidR="00CD1A26" w:rsidSect="00787B05">
          <w:headerReference w:type="even" r:id="rId9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78733C">
      <w:pPr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78733C">
      <w:pPr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BE5266" w:rsidRDefault="00BE5266" w:rsidP="0078733C">
      <w:pPr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                   </w:t>
      </w:r>
      <w:r w:rsidR="00FE6A40">
        <w:rPr>
          <w:sz w:val="28"/>
          <w:szCs w:val="28"/>
        </w:rPr>
        <w:t xml:space="preserve"> 201</w:t>
      </w:r>
      <w:r w:rsidR="00762049">
        <w:rPr>
          <w:sz w:val="28"/>
          <w:szCs w:val="28"/>
        </w:rPr>
        <w:t>7</w:t>
      </w:r>
      <w:r w:rsidR="00FE6A40">
        <w:rPr>
          <w:sz w:val="28"/>
          <w:szCs w:val="28"/>
        </w:rPr>
        <w:t xml:space="preserve"> г.</w:t>
      </w:r>
      <w:r w:rsidR="008F030E"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D67A2F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</w:t>
      </w:r>
    </w:p>
    <w:p w:rsidR="00B525E1" w:rsidRDefault="00B525E1" w:rsidP="0078733C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0F5DDC">
        <w:t xml:space="preserve">апреля </w:t>
      </w:r>
      <w:r w:rsidRPr="00D67A2F">
        <w:t xml:space="preserve"> 201</w:t>
      </w:r>
      <w:r w:rsidR="000F5DDC">
        <w:t>6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2634"/>
        <w:gridCol w:w="5310"/>
        <w:gridCol w:w="1240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</w:t>
            </w:r>
            <w:r w:rsidRPr="005C5F73">
              <w:t>н</w:t>
            </w:r>
            <w:r w:rsidRPr="005C5F73">
              <w:t>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Финансовый отдел администрации Воробьевск</w:t>
            </w:r>
            <w:r w:rsidRPr="005C5F73">
              <w:t>о</w:t>
            </w:r>
            <w:r w:rsidRPr="005C5F73">
              <w:t xml:space="preserve">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пу</w:t>
            </w:r>
            <w:r w:rsidRPr="005C5F73">
              <w:t>б</w:t>
            </w:r>
            <w:r w:rsidRPr="005C5F73">
              <w:t>лично-правового обр</w:t>
            </w:r>
            <w:r w:rsidRPr="005C5F73">
              <w:t>а</w:t>
            </w:r>
            <w:r w:rsidRPr="005C5F73">
              <w:t>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</w:t>
            </w:r>
            <w:r>
              <w:t>ж</w:t>
            </w:r>
            <w:r>
              <w:t>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</w:pPr>
    </w:p>
    <w:p w:rsidR="005C5F73" w:rsidRDefault="005C5F73" w:rsidP="00090FF0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090FF0" w:rsidRDefault="00090FF0" w:rsidP="00090FF0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000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4283"/>
        <w:gridCol w:w="563"/>
        <w:gridCol w:w="1792"/>
        <w:gridCol w:w="1143"/>
        <w:gridCol w:w="1128"/>
        <w:gridCol w:w="1228"/>
      </w:tblGrid>
      <w:tr w:rsidR="002913AD" w:rsidRPr="00090FF0" w:rsidTr="0078733C">
        <w:trPr>
          <w:trHeight w:val="255"/>
        </w:trPr>
        <w:tc>
          <w:tcPr>
            <w:tcW w:w="6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жетной классифик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жетные назн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назн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чения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AD" w:rsidRPr="00090FF0" w:rsidRDefault="002913AD" w:rsidP="00090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292 300 500,00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64 769 131,25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227 786 476,54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88 477 000,00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17 853 853,71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70 878 254,08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47 528 000,00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8 657 397,23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39 043 123,62</w:t>
            </w:r>
          </w:p>
        </w:tc>
      </w:tr>
      <w:tr w:rsidR="002913AD" w:rsidRPr="00090FF0" w:rsidTr="0078733C">
        <w:trPr>
          <w:trHeight w:val="153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47 528 000,00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8 657 397,23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39 043 123,62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точником которых является налоговый агент, 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доходов, в отношении которых исчисл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и уплата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 осуществляются в соответствии со статьями 227, 2271 и 228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47 416 000,00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8 632 759,31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38 953 955,19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точником которых является налоговый агент, 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доходов, в отношении которых исчисл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и уплата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 осуществляются в соответствии со статьями 227, 2271 и 228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47 414 000,00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8 460 044,81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38 953 955,19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точником которых является налоговый агент, 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доходов, в отношении которых исчисл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и уплата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 осуществляются в соответствии со статьями 227, 2271 и 228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 (пени по соответствующему пл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тежу)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5 432,06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точником которых является налоговый агент, 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доходов, в отношении которых исчисл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ние и уплата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 осуществляются в соответствии со статьями 227, 2271 и 228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167 250,41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точником которых является налоговый агент, 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доходов, в отношении которых исчисл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и уплата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 осуществляются в соответствии со статьями 227, 2271 и 228 Налогового кодекса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 (прочие поступления)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лученных от осуществления деятельности физич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скими лицами, зарегистрированными в качестве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дивидуальных предпринимателей, нотариусов, зан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мающихся частной практикой, адвокатов, учр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дивших адвокатские кабинеты, и других лиц, занимающихся частной практикой в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ветствии со статьей 227 Налогового кодекса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22 766,25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7 233,75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лученных от осуществления деятельности физич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скими лицами, зарегистрированными в качестве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дивидуальных предпринимателей, нотариусов, зан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мающихся частной практикой, адвокатов, учр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дивших адвокатские кабинеты, и других лиц, занимающихся частной практикой в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22 766,25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7 233,75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лученных физическими лицами в соответствии со статьей 228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1 871,67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73 934,68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лученных физическими лицами в соответствии со статьей 228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 (сумма платежа (перерасчеты, недоимка и 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1 806,35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лученных физическими лицами в соответствии со статьей 228 Налогового кодекса Российской Федер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 (пени по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ветствующему платежу)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65,32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73 934,68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рованных авансовых платежей с доходов, получе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физическими лицами, являющимися иностра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гражданами, осуществляющими трудовую 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тельность по найму на основании патента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статьей 2271 Налогового кодекса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рованных авансовых платежей с доходов, получе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физическими лицами, являющимися иностра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гражданами, осуществляющими трудовую 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тельность по найму на основании патента в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ствии со статьей 2271 Налогового кодекса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 (сумма платежа (перерасчеты, нед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имка и задолженность по соответствующему плат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АЛИЗУЕМЫЕ НА ТЕРРИТОРИИ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1 248 397,85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3 729 602,15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1 248 397,85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3 729 602,15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во, подлежащие распределению между бюджетами субъектов Российской Федерации и местными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жетами с учетом установленных дифференцирова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1 995 200,00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464 286,99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1 530 913,01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ференцированных нормативов отчислений в местные бюджеты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4 640,42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145 359,58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тами субъектов Российской Федерации и местными бюджетами с учетом установленных дифференцир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ванных нормативов отчислений в местные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864 632,04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1 835 367,96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зин, подлежащие распределению между бюджетами субъектов Российской Федерации и местными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жетами с учетом установленных дифференцирова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нормативов отчислений в местные бюджеты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132 800,00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-85 161,60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217 961,60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10 689 000,00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3 679 388,25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7 017 834,54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1 268 564,25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3 829 929,94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5 096 000,00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1 269 489,58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3 829 929,94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(сумма платежа (перерасч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5 086 000,00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1 263 982,59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3 822 017,41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(пени по соответствующему платежу)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000 1 05 02010 02 2100 110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2 087,47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7 912,53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(суммы денежных взысканий (штрафов) по соответствующему платежу согласно законод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тельству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000 1 05 02010 02 3000 110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3 419,52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(за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говые периоды, истекшие до             1 января 2011 года)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-925,33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(за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говые периоды, истекшие до 1 января 2011 года) (сумма платежа (перерасчеты, недоимка и задолженность по соо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ветствующему платежу,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-902,21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видов деятельности (за нал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говые периоды, истекшие до 1 января 2011 года) (пени по соотве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ствующему платежу)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000 1 05 02020 02 2100 110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-23,12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5 593 000,00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2 410 824,00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3 187 904,60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5 593 000,00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2 410 824,00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3 187 904,60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2 404 095,40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3 187 904,60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000 1 05 03010 01 2100 110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6 728,60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153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110 579,74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325 420,26</w:t>
            </w:r>
          </w:p>
        </w:tc>
      </w:tr>
      <w:tr w:rsidR="002913AD" w:rsidRPr="00090FF0" w:rsidTr="0078733C">
        <w:trPr>
          <w:trHeight w:val="153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по делам, рассма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риваемым в судах общей юрисди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ции, мировыми судьями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110 579,74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325 420,26</w:t>
            </w:r>
          </w:p>
        </w:tc>
      </w:tr>
      <w:tr w:rsidR="002913AD" w:rsidRPr="00090FF0" w:rsidTr="0078733C">
        <w:trPr>
          <w:trHeight w:val="153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риваемым в судах общей юрисди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ции, мировыми судьями (за исключением Верховного Суда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110 579,74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325 420,26</w:t>
            </w:r>
          </w:p>
        </w:tc>
      </w:tr>
      <w:tr w:rsidR="002913AD" w:rsidRPr="00090FF0" w:rsidTr="0078733C">
        <w:trPr>
          <w:trHeight w:val="127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риваемым в судах общей юрисди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ции, мировыми судьями (за исключением Верховного Суда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Федерации) (сумма платежа (перерасчеты, недоимка и задолженность по соответствующему пл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тежу, в том числе по отмененному)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000 1 08 03010 01 1000 110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110 579,74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325 420,26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ЦИПАЛЬНОЙ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1 719 876,76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12 940 123,24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1 719 876,76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12 940 123,24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13 634 000,00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1 642 278,72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11 991 721,28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ственная собственность на которые не разграничена и которые расположены в гран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13 634 000,00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1 642 278,72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11 991 721,28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 на землю, а также средства от продажи права на заключ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 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земли, находящиеся в собстве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ности муниципальных районов (за исключением земельных участков мун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ципальных бюджетных и автономных учреждений) (за земли с/х назначения)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000 1 11 05025 05 0001 120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386 000,00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щегося в оперативном управлении органов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77 598,04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562 401,96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щегося в оперативном управлении органов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муниципальных районов и созданных ими учр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ждений (за искл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77 598,04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562 401,96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МИ РЕСУРСАМИ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91 969,30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91 969,30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2913AD" w:rsidRPr="00090FF0" w:rsidTr="0078733C">
        <w:trPr>
          <w:trHeight w:val="153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Плата за выбросы загрязняющих веществ в 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мосферный воздух стационарными объектами 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4 716,72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мосферный воздух стационарными объектами (ф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деральные государственные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000 1 12 01010 01 6000 120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4 716,72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мосферный воздух передвижными объектами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выбросы загрязняющих веществ в 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мосферный воздух передвижными объектами (фед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ральные государственные органы, Банк России, 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ганы управления государственными внебюджетными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000 1 12 01020 01 6000 120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53,61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объекты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49 405,15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объекты (федеральные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000 1 12 01030 01 6000 120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49 405,15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255 594,85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37 793,82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 (федеральные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000 1 12 01040 01 6000 120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37 793,82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2 163 612,17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6 162 387,83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2 163 612,17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6 162 387,83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бот)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2 163 612,17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6 162 387,83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бот) получателями средств бюджетов 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8 326 000,00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2 163 612,17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6 162 387,83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1 593,96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603 406,04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ся в государственной и муниципальной собственн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сти (за исключением движимого имущества 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и автоно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учреждений, а также имущества государственных и муниципальных унитарных пре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приятий, в том числе казенных)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ся в собственности муниципальных районов (за 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ключением движимого имущества муниципальных бюджетных и автономных учреждений, а также им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реализации иного имущества, нах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дящегося в собственности 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 районов (за исключением имущества муниципальных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жетных и автономных учреждений, а также имущ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307 000,00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дящихся в государственной и муниципальной со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1 593,96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296 406,04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дарственная собственность на которые не разгран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1 593,96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296 406,04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дарственная собственность на которые не разгран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чена и которые расположены в границах сельских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1 593,96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296 406,04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946 000,00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181 038,45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800 761,55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Денежные взыскания (штрафы) за нарушение законодательства о налогах и сб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7 450,00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статьями 116, 118, статьей 1191, пунктами 1 и 2 статьи 120, статьями 125, 126, 128, 129, 1291, 132, 133, 134, 135, 1351 Налогового кодекса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000 1 16 03010 01 6000 140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тивные правонарушения в области налогов и сборов, предусмотренные Кодексом Российской Федерации об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тивных правонарушениях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000 1 16 03030 01 0000 140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тивные правонарушения в области налогов и сборов, предусмотренные Кодексом Российской Федерации об административных правонарушениях (федерал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государственные органы, Банк России, орг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 управления государственными внебюджетными фо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000 1 16 03030 01 6000 140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тивные правонарушения в области государственного регулирования производства и оборота этилового спирта, алкогол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ной, спиртосодержащей и табачной продукции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000 1 16 08000 01 0000 140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000 1 16 08020 01 0000 140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администр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тивные правонарушения в области государственного регулирования производства и оборота табачной продукции (фед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000 1 16 08020 01 6000 140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 о недрах, об особо охраняемых природных территориях, об охране и использовании животного мира, об эколог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ческой экспертизе, в области охраны окружающей среды, о рыболовстве и сохранении водных биолог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ческих ресурсов, земельного законодательства, ле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ного законодательства, водного законодательства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 об охране и использовании животного мира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000 1 16 25030 01 0000 140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 окружающей среды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000 1 16 25050 01 0000 140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 окружающей среды (федеральные государственные органы, Банк России, органы управления государственными вн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000 1 16 25050 01 6000 140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 (федеральные гос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дарственные органы, Банк России, органы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внебюджетными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000 1 16 25060 01 6000 140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печения санитарно-эпидемиологического благополучия человека и зак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нодательства в сфере защиты прав потребителей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000 1 16 28000 01 0000 140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49 100,00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печения санитарно-эпидемиологического благополучия человека и зак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нодательства в сфере защиты прав потребителей (федеральные государственные органы, Банк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сии, органы управления государственными внебю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жетными фондами Российской 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000 1 16 28000 01 6000 140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49 100,00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Денежные взыскания (штрафы) за правонар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шения в области дорожного движ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000 1 16 30000 01 0000 140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102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денежные взыскания (штрафы) за пр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вонарушения в области дорожного движения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000 1 16 30030 01 0000 140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76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денежные взыскания (штрафы) за пр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вонарушения в области дорожного движения (фед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ральные государственные органы, Банк России, 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ганы управления государственными внебюджетными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000 1 16 30030 01 6000 140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стративных правонарушениях, предусмотренные статьей 20.25 Кодекса Российской Федерации об административных правонарушениях (федерал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ные государственные органы, Банк России, органы упра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ления государственными вн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000 1 16 43000 01 6000 140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913AD" w:rsidRPr="00090FF0" w:rsidTr="0078733C">
        <w:trPr>
          <w:trHeight w:val="255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ние ущерба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113 488,45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746 511,55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числяемые в бюджеты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113 488,45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746 511,55</w:t>
            </w:r>
          </w:p>
        </w:tc>
      </w:tr>
      <w:tr w:rsidR="002913AD" w:rsidRPr="00090FF0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AD" w:rsidRDefault="002913A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числяемые в бюджеты муниципальных районов (ф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деральные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ственные органы, Банк России, органы управления государственными внебюдже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ными фондами Российской Федерации)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000 1 16 90050 05 6000 140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113 488,45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3AD" w:rsidRDefault="002913A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746 511,55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203 823 500,00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46 915 277,54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156 908 222,46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203 723 500,00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46 815 277,54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156 908 222,46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6 266 700,00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18 800 300,00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6 266 700,00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18 800 300,00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25 067 000,00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6 266 700,00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18 800 300,00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 (межбюджетные субсидии)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45 237 400,00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8 938 500,00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36 298 900,00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федерал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 целевых программ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000 2 02 20051 00 0000 151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федеральных цел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вых программ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000 2 02 20051 05 0000 151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софинансирование к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питальных вложений в объекты го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ударственной (муниципальной)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вложений в об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ъ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екты муниципальной собственности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000 2 02 20077 05 0000 151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5 671 500,00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36 565 900,00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8 938 500,00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27 627 400,00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36 565 900,00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8 938 500,00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27 627 400,00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132 461 600,00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31 355 077,54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101 106 522,46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ъ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1 274 651,00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3 829 349,00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5 104 000,00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1 274 651,00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3 829 349,00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на содержание ребенка в семье опекуна и приемной семье, а также вознагра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дение, причитающееся приемному родителю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1 531 270,06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6 345 729,94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емному род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7 877 000,00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1 531 270,06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6 345 729,94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телей) за присмотр и уход за детьми, посещающими образовательные организации, реализующие обр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зовательные программы дошкольного образов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5 156,48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228 843,52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ции, реализующие образовательные программы 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школьного образования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000 2 02 30029 05 0000 151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5 156,48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228 843,52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выплату единовр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000 2 02 35260 00 0000 151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мах устройства детей, лишенных родительского п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печения, в 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мью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000 2 02 35260 05 0000 151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258 600,00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118 988 000,00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28 544 000,00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90 444 000,00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118 988 000,00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28 544 000,00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90 444 000,00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957 500,00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702 500,00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635 000,00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635 000,00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емые бюджетам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емые бюджетам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000 2 02 49999 05 0000 151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000 2 07 05000 05 0000 180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78733C">
        <w:trPr>
          <w:trHeight w:val="510"/>
        </w:trPr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B926B1" w:rsidRDefault="00B926B1" w:rsidP="00090FF0">
      <w:pPr>
        <w:rPr>
          <w:b/>
          <w:bCs/>
        </w:rPr>
      </w:pPr>
    </w:p>
    <w:p w:rsidR="00B66971" w:rsidRPr="00B66971" w:rsidRDefault="00B66971" w:rsidP="00890288">
      <w:pPr>
        <w:ind w:firstLine="709"/>
        <w:jc w:val="center"/>
        <w:rPr>
          <w:b/>
        </w:rPr>
      </w:pPr>
      <w:r w:rsidRPr="00B66971">
        <w:rPr>
          <w:b/>
          <w:bCs/>
        </w:rPr>
        <w:t xml:space="preserve">  2. Расходы бюджета</w:t>
      </w:r>
    </w:p>
    <w:tbl>
      <w:tblPr>
        <w:tblW w:w="15611" w:type="dxa"/>
        <w:tblInd w:w="90" w:type="dxa"/>
        <w:tblLook w:val="04A0" w:firstRow="1" w:lastRow="0" w:firstColumn="1" w:lastColumn="0" w:noHBand="0" w:noVBand="1"/>
      </w:tblPr>
      <w:tblGrid>
        <w:gridCol w:w="6822"/>
        <w:gridCol w:w="851"/>
        <w:gridCol w:w="2693"/>
        <w:gridCol w:w="1700"/>
        <w:gridCol w:w="1702"/>
        <w:gridCol w:w="1843"/>
      </w:tblGrid>
      <w:tr w:rsidR="00090FF0" w:rsidRPr="00090FF0">
        <w:trPr>
          <w:trHeight w:val="255"/>
        </w:trPr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Код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Код расхода по бюджетной класс</w:t>
            </w:r>
            <w:r w:rsidRPr="00090FF0">
              <w:rPr>
                <w:sz w:val="18"/>
                <w:szCs w:val="18"/>
              </w:rPr>
              <w:t>и</w:t>
            </w:r>
            <w:r w:rsidRPr="00090FF0">
              <w:rPr>
                <w:sz w:val="18"/>
                <w:szCs w:val="18"/>
              </w:rPr>
              <w:t>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16"/>
                <w:szCs w:val="16"/>
              </w:rPr>
            </w:pPr>
            <w:r w:rsidRPr="00090FF0">
              <w:rPr>
                <w:sz w:val="16"/>
                <w:szCs w:val="16"/>
              </w:rPr>
              <w:t>бюджеты муниц</w:t>
            </w:r>
            <w:r w:rsidRPr="00090FF0">
              <w:rPr>
                <w:sz w:val="16"/>
                <w:szCs w:val="16"/>
              </w:rPr>
              <w:t>и</w:t>
            </w:r>
            <w:r w:rsidRPr="00090FF0">
              <w:rPr>
                <w:sz w:val="16"/>
                <w:szCs w:val="16"/>
              </w:rPr>
              <w:t>пальных районов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16"/>
                <w:szCs w:val="16"/>
              </w:rPr>
            </w:pPr>
            <w:r w:rsidRPr="00090FF0">
              <w:rPr>
                <w:sz w:val="16"/>
                <w:szCs w:val="16"/>
              </w:rPr>
              <w:t>бюджеты муниц</w:t>
            </w:r>
            <w:r w:rsidRPr="00090FF0">
              <w:rPr>
                <w:sz w:val="16"/>
                <w:szCs w:val="16"/>
              </w:rPr>
              <w:t>и</w:t>
            </w:r>
            <w:r w:rsidRPr="00090FF0">
              <w:rPr>
                <w:sz w:val="16"/>
                <w:szCs w:val="16"/>
              </w:rPr>
              <w:t>пальных ра</w:t>
            </w:r>
            <w:r w:rsidRPr="00090FF0">
              <w:rPr>
                <w:sz w:val="16"/>
                <w:szCs w:val="16"/>
              </w:rPr>
              <w:t>й</w:t>
            </w:r>
            <w:r w:rsidRPr="00090FF0">
              <w:rPr>
                <w:sz w:val="16"/>
                <w:szCs w:val="16"/>
              </w:rPr>
              <w:t>онов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 </w:t>
            </w:r>
          </w:p>
        </w:tc>
      </w:tr>
      <w:tr w:rsidR="00090FF0" w:rsidRPr="00090FF0">
        <w:trPr>
          <w:trHeight w:val="255"/>
        </w:trPr>
        <w:tc>
          <w:tcPr>
            <w:tcW w:w="6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</w:tr>
      <w:tr w:rsidR="00090FF0" w:rsidRPr="00090FF0" w:rsidTr="00307771">
        <w:trPr>
          <w:trHeight w:val="383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18"/>
                <w:szCs w:val="18"/>
              </w:rPr>
            </w:pPr>
            <w:r w:rsidRPr="00090FF0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 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298 621 500,00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70 107 146,29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228 514 353,71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97011" w:rsidRPr="00090FF0" w:rsidTr="00197011">
        <w:trPr>
          <w:trHeight w:val="76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429 337,24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1 660 662,76</w:t>
            </w:r>
          </w:p>
        </w:tc>
      </w:tr>
      <w:tr w:rsidR="00197011" w:rsidRPr="00090FF0" w:rsidTr="00197011">
        <w:trPr>
          <w:trHeight w:val="76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418 387,24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1 461 612,76</w:t>
            </w:r>
          </w:p>
        </w:tc>
      </w:tr>
      <w:tr w:rsidR="00197011" w:rsidRPr="00090FF0" w:rsidTr="00197011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418 387,24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1 461 612,76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317 491,45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100 895,79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199 050,00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199 050,00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000 0103 00 0 00 00000 244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20 358 000,00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4 821 653,32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15 536 346,68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3 396 738,11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9 993 261,89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13 390 000,00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3 396 738,11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9 993 261,89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2 520 982,64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875 755,47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1 338 085,21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4 979 914,79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1 338 085,21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4 979 914,79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148 421,57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1 189 663,64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563 170,00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563 170,00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861 806,18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2 797 193,82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2 841 600,00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705 904,73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2 135 695,27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2 841 600,00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705 904,73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2 135 695,27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532 061,49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172 243,24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155 901,45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659 498,55</w:t>
            </w:r>
          </w:p>
        </w:tc>
      </w:tr>
      <w:tr w:rsidR="00197011" w:rsidRPr="00090FF0" w:rsidTr="00197011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155 901,45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659 498,55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26 828,47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RPr="00090FF0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129 072,98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000 0106 00 0 00 00000 850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594 052,18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2 045 947,82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511 111,12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1 525 888,88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268 059,00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423 170,12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1 257 829,88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328 578,08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94 592,04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82 941,06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520 058,94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82 941,06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520 058,94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82 141,06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260 268,44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1 089 731,56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260 268,44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938 731,56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1 199 000,00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260 268,44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938 731,56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202 999,60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57 268,84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178 376,29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764 723,71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178 376,29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699 623,71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178 376,29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699 623,71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137 001,76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41 374,53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000 0405 00 0 00 00000 240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65 100,00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127 749,99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383 250,01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127 749,99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383 250,01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127 749,99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383 250,01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000 0408 00 0 00 00000 634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127 749,99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1 244 499,00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3 733 501,00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1 244 499,00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3 733 501,00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4 978 000,00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1 244 499,00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3 733 501,00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000 0409 00 0 00 00000 521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1 244 499,00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4 273 500,00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2 206 000,00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2 206 000,00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67 500,00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000 0505 00 0 00 00000 410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2 704 100,00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28 495 600,00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7 285 331,05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21 210 268,95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20 736 000,00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5 178 420,22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15 557 579,78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20 736 000,00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5 178 420,22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15 557 579,78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3 986 535,57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1 191 884,65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6 575 600,00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1 799 014,83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4 776 585,17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6 575 600,00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1 799 014,83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4 776 585,17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10 420,38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1 788 594,45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876 104,00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876 104,00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000 0701 00 0 00 00000 851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140 345 300,00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34 790 974,71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105 554 325,29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98 476 620,00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24 270 911,12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74 205 708,88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98 476 620,00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24 270 911,12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74 205 708,88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18 888 448,67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5 382 462,45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38 135 680,00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9 649 210,59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28 486 469,41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38 135 680,00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9 649 210,59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28 486 469,41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181 937,21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9 467 273,38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870 853,00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2 862 147,00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3 733 000,00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870 853,00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2 862 147,00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869 853,00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000 0702 00 0 00 00000 852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15 895 000,00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4 005 185,37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11 889 814,63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2 534 420,42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8 875 579,58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2 534 420,42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8 875 579,58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1 935 350,52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597 738,40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1 096 898,95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1 773 101,05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1 096 898,95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1 773 101,05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36 617,34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1 060 281,61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1 241 134,00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1 241 134,00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000 0703 00 0 00 00000 852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1 024 900,00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65 669,80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959 230,20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1 024 900,00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65 669,80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959 230,20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1 024 900,00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65 669,80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959 230,20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000 0707 00 0 00 00000 244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65 669,80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7 407 000,00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1 747 301,08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5 659 698,92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6 455 000,00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1 497 891,39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4 957 108,61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816 432,18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3 067 567,82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627 060,07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189 372,11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2 571 000,00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681 459,21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1 889 540,79</w:t>
            </w:r>
          </w:p>
        </w:tc>
      </w:tr>
      <w:tr w:rsidR="00197011" w:rsidTr="00197011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011" w:rsidRDefault="0019701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524 321,97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011" w:rsidRDefault="0019701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157 137,24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249 340,69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701 459,31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950 800,00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249 340,69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701 459,31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70 876,74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178 463,95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1 131,00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1 131,00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000 0709 00 0 00 00000 851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14 154 000,00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4 338 453,84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9 815 546,16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8 497 000,00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2 197 245,53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6 299 754,47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8 497 000,00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2 197 245,53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6 299 754,47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1 682 600,00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514 645,53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3 433 000,00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1 740 470,31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1 692 529,69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3 433 000,00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1 740 470,31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1 692 529,69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13 972,89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1 726 497,42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2 224 000,00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1 823 262,00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2 224 000,00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400 738,00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1 823 262,00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398 638,00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000 0801 00 0 00 00000 852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175 308,02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726 691,98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129 518,54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575 481,46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129 518,54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575 481,46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29 982,54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45 668,48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150 331,52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45 668,48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150 331,52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5 816,48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879,00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879,00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1 927 939,00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1 927 939,00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1 927 939,00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334 061,00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000 1003 00 0 00 00000 320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580 000,00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8 369 600,00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1 535 912,32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6 833 687,68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8 369 600,00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1 535 912,32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6 833 687,68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6 359 600,00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1 060 130,26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5 299 469,74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1 060 130,26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475 782,06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1 534 217,94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000 1004 00 0 00 00000 323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475 782,06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148 500,00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000 1006 00 0 00 00000 634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248 589,92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212 410,08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248 589,92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212 410,08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248 589,92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212 410,08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000 1101 00 0 00 00000 244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248 589,92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6 917 400,00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6 851 976,00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6 917 400,00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6 851 976,00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6 917 400,00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6 851 976,00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000 1105 00 0 00 00000 414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000 1301 00 0 00 00000 730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39 072,54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30 927,46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4 398 880,00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4 398 880,00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4 398 880,00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000 1401 00 0 00 00000 511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1 466 120,00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21 168 000,00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15 725 500,00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21 168 000,00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15 725 500,00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21 168 000,00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15 725 500,00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000 1403 00 0 00 00000 521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-6 321 000,00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-5 338 015,04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B66971" w:rsidRDefault="00B66971" w:rsidP="00890288">
      <w:pPr>
        <w:ind w:firstLine="709"/>
        <w:jc w:val="center"/>
        <w:rPr>
          <w:b/>
          <w:sz w:val="28"/>
          <w:szCs w:val="28"/>
        </w:rPr>
      </w:pPr>
    </w:p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B926B1" w:rsidRDefault="00B926B1" w:rsidP="00090FF0">
      <w:pPr>
        <w:rPr>
          <w:b/>
          <w:sz w:val="28"/>
          <w:szCs w:val="28"/>
        </w:rPr>
      </w:pPr>
    </w:p>
    <w:p w:rsidR="00334896" w:rsidRPr="00334896" w:rsidRDefault="00334896" w:rsidP="0033489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334896" w:rsidRPr="00334896" w:rsidRDefault="00334896" w:rsidP="00334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611" w:type="dxa"/>
        <w:tblInd w:w="90" w:type="dxa"/>
        <w:tblLook w:val="04A0" w:firstRow="1" w:lastRow="0" w:firstColumn="1" w:lastColumn="0" w:noHBand="0" w:noVBand="1"/>
      </w:tblPr>
      <w:tblGrid>
        <w:gridCol w:w="6822"/>
        <w:gridCol w:w="797"/>
        <w:gridCol w:w="2747"/>
        <w:gridCol w:w="1660"/>
        <w:gridCol w:w="1742"/>
        <w:gridCol w:w="1843"/>
      </w:tblGrid>
      <w:tr w:rsidR="00090FF0" w:rsidRPr="00090FF0">
        <w:trPr>
          <w:trHeight w:val="255"/>
        </w:trPr>
        <w:tc>
          <w:tcPr>
            <w:tcW w:w="6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Код строки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Код источника финансир</w:t>
            </w:r>
            <w:r w:rsidRPr="00090FF0">
              <w:rPr>
                <w:sz w:val="20"/>
                <w:szCs w:val="20"/>
              </w:rPr>
              <w:t>о</w:t>
            </w:r>
            <w:r w:rsidRPr="00090FF0">
              <w:rPr>
                <w:sz w:val="20"/>
                <w:szCs w:val="20"/>
              </w:rPr>
              <w:t>вания по бюджетной класс</w:t>
            </w:r>
            <w:r w:rsidRPr="00090FF0">
              <w:rPr>
                <w:sz w:val="20"/>
                <w:szCs w:val="20"/>
              </w:rPr>
              <w:t>и</w:t>
            </w:r>
            <w:r w:rsidRPr="00090FF0">
              <w:rPr>
                <w:sz w:val="20"/>
                <w:szCs w:val="20"/>
              </w:rPr>
              <w:t>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Утвержденные бюджетные на-значения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Неисполнен-ные назначения</w:t>
            </w:r>
          </w:p>
        </w:tc>
      </w:tr>
      <w:tr w:rsidR="00090FF0" w:rsidRPr="00090FF0">
        <w:trPr>
          <w:trHeight w:val="255"/>
        </w:trPr>
        <w:tc>
          <w:tcPr>
            <w:tcW w:w="6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F0" w:rsidRPr="00090FF0" w:rsidRDefault="00090FF0" w:rsidP="00090FF0">
            <w:pPr>
              <w:rPr>
                <w:sz w:val="20"/>
                <w:szCs w:val="20"/>
              </w:rPr>
            </w:pPr>
          </w:p>
        </w:tc>
      </w:tr>
      <w:tr w:rsidR="00090FF0" w:rsidRPr="00090FF0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FF0" w:rsidRPr="00090FF0" w:rsidRDefault="00090FF0" w:rsidP="00090FF0">
            <w:pPr>
              <w:jc w:val="center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FF0" w:rsidRPr="00090FF0" w:rsidRDefault="00090FF0" w:rsidP="00090FF0">
            <w:pPr>
              <w:jc w:val="right"/>
              <w:rPr>
                <w:sz w:val="20"/>
                <w:szCs w:val="20"/>
              </w:rPr>
            </w:pPr>
            <w:r w:rsidRPr="00090FF0">
              <w:rPr>
                <w:sz w:val="20"/>
                <w:szCs w:val="20"/>
              </w:rPr>
              <w:t>6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6 321 000,00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5 338 015,04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982 984,96</w:t>
            </w:r>
          </w:p>
        </w:tc>
      </w:tr>
      <w:tr w:rsidR="00C27E67" w:rsidRPr="00090FF0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E67" w:rsidRPr="00090FF0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E67" w:rsidRPr="00090FF0" w:rsidTr="00C27E67">
        <w:trPr>
          <w:trHeight w:val="76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76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 от других бюджетов бю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-256 639,11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6 577 631,11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5 594 654,15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982 976,96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-292 300 500,00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-65 185 662,53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-292 300 500,00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-65 185 662,53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-292 300 500,00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-65 185 662,53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090FF0" w:rsidTr="00C27E67">
        <w:trPr>
          <w:trHeight w:val="255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-292 300 500,00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-65 185 662,53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090FF0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Default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298 878 131,11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70 780 316,68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Default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C27E67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Pr="00C27E67" w:rsidRDefault="00C27E67" w:rsidP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E6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298 878 131,11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70 780 316,68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C27E67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Pr="00C27E67" w:rsidRDefault="00C27E67" w:rsidP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E6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298 878 131,11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70 780 316,68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27E67" w:rsidRPr="00C27E67" w:rsidTr="00C27E67">
        <w:trPr>
          <w:trHeight w:val="510"/>
        </w:trPr>
        <w:tc>
          <w:tcPr>
            <w:tcW w:w="6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E67" w:rsidRPr="00C27E67" w:rsidRDefault="00C27E67" w:rsidP="00C27E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E67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298 878 131,11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70 780 316,68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67" w:rsidRPr="00C27E67" w:rsidRDefault="00C27E67" w:rsidP="00C27E6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7E67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334896" w:rsidRDefault="00334896" w:rsidP="00890288">
      <w:pPr>
        <w:ind w:firstLine="709"/>
        <w:jc w:val="center"/>
        <w:rPr>
          <w:b/>
          <w:sz w:val="28"/>
          <w:szCs w:val="28"/>
        </w:rPr>
      </w:pPr>
    </w:p>
    <w:p w:rsidR="00B926B1" w:rsidRPr="00F4033B" w:rsidRDefault="00B926B1" w:rsidP="00890288">
      <w:pPr>
        <w:ind w:firstLine="709"/>
        <w:jc w:val="center"/>
        <w:rPr>
          <w:b/>
          <w:sz w:val="28"/>
          <w:szCs w:val="28"/>
          <w:lang w:val="en-US"/>
        </w:rPr>
      </w:pPr>
    </w:p>
    <w:p w:rsidR="00B926B1" w:rsidRDefault="00B926B1" w:rsidP="00890288">
      <w:pPr>
        <w:ind w:firstLine="709"/>
        <w:jc w:val="center"/>
        <w:rPr>
          <w:b/>
          <w:sz w:val="28"/>
          <w:szCs w:val="28"/>
        </w:rPr>
      </w:pPr>
    </w:p>
    <w:sectPr w:rsidR="00B926B1" w:rsidSect="0078733C"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5B" w:rsidRDefault="00E07D5B">
      <w:r>
        <w:separator/>
      </w:r>
    </w:p>
  </w:endnote>
  <w:endnote w:type="continuationSeparator" w:id="0">
    <w:p w:rsidR="00E07D5B" w:rsidRDefault="00E0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5B" w:rsidRDefault="00E07D5B">
      <w:r>
        <w:separator/>
      </w:r>
    </w:p>
  </w:footnote>
  <w:footnote w:type="continuationSeparator" w:id="0">
    <w:p w:rsidR="00E07D5B" w:rsidRDefault="00E0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67" w:rsidRDefault="00C27E67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E67" w:rsidRDefault="00C27E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0A46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33C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15FB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5C14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07D5B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8716</Words>
  <Characters>49685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58285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Мария Васильевна Полякова</cp:lastModifiedBy>
  <cp:revision>2</cp:revision>
  <cp:lastPrinted>2017-04-11T10:36:00Z</cp:lastPrinted>
  <dcterms:created xsi:type="dcterms:W3CDTF">2017-07-06T08:05:00Z</dcterms:created>
  <dcterms:modified xsi:type="dcterms:W3CDTF">2017-07-06T08:05:00Z</dcterms:modified>
</cp:coreProperties>
</file>