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Воробьевского муниципального района Воронежской области 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 xml:space="preserve"> ноября 2022 г. №</w:t>
      </w:r>
      <w:r>
        <w:rPr>
          <w:sz w:val="28"/>
          <w:szCs w:val="28"/>
          <w:lang w:val="en-US"/>
        </w:rPr>
        <w:t xml:space="preserve"> 1015</w:t>
      </w:r>
      <w:r>
        <w:rPr>
          <w:sz w:val="28"/>
          <w:szCs w:val="28"/>
        </w:rPr>
        <w:t xml:space="preserve">   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36:08:3200014:190, расположенного по адресу: Воронежская область, Воробьевский район, земельный участок расположен в юго-западной части кадастрового квартала 36:08:3200014, площадью 595149  кв.м., категория земель: земли сельскохозяйственного назначения, вид разрешенного использования: выпас сельскохозяйственных животных.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LibreOffice/7.3.3.2$Windows_X86_64 LibreOffice_project/d1d0ea68f081ee2800a922cac8f79445e4603348</Application>
  <AppVersion>15.0000</AppVersion>
  <Pages>3</Pages>
  <Words>631</Words>
  <Characters>5157</Characters>
  <CharactersWithSpaces>5868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2022-11-11T10:47:38Z</cp:lastPrinted>
  <dcterms:modified xsi:type="dcterms:W3CDTF">2022-11-11T10:47:48Z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